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REGULAMIN REKRUTACJI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„Zawodowe perspektywy Zespołu Szkół Technicznych - kierunek przyszłość“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Projekt realizowany w ramach Regionalnego Programu Operacyjnego Województwa  Podlaskiego 2014-2020, Oś priorytetowa III Kompetencje i kwalifikacje, Działanie 3.3 Kształcenie zawodowe młodzieży na rzecz konkurencyjności podlaskiej gospodarki, Poddziałanie 3.3.1 Kształcenie zawodowe młodzieży na rzecz konkurencyjności podlaskiej gospodarki w ramach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1</w:t>
      </w:r>
    </w:p>
    <w:p w:rsidR="00000000" w:rsidDel="00000000" w:rsidP="00000000" w:rsidRDefault="00000000" w:rsidRPr="00000000" w14:paraId="00000008">
      <w:pPr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Definicje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 </w:t>
        <w:tab/>
        <w:t xml:space="preserve"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30 czerwca 2023r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 </w:t>
        <w:tab/>
        <w:t xml:space="preserve">Beneficjent – Miasto Białystok.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3.  </w:t>
        <w:tab/>
        <w:t xml:space="preserve">Realizator – Zespół Szkół Technicznych im. gen. Wł. Andersa w Białymstoku, ul. Stołeczna 21, 15-879 Białystok</w:t>
      </w:r>
    </w:p>
    <w:p w:rsidR="00000000" w:rsidDel="00000000" w:rsidP="00000000" w:rsidRDefault="00000000" w:rsidRPr="00000000" w14:paraId="0000000C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 </w:t>
        <w:tab/>
        <w:t xml:space="preserve">Instytucja Wdrażająca (Instytucja Pośrednicząca II stopnia) – Urząd Marszałkowski Województwa Podlaskiego.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5.  </w:t>
        <w:tab/>
        <w:t xml:space="preserve">Beneficjenci Ostateczni – uczniowie Zespołu Szkół Technicznych w Białymstoku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  </w:t>
        <w:tab/>
        <w:t xml:space="preserve">Komisja Rekrutacyjna – komisja, w której w skład  wchodzą: Kierownik Projektu, specjalista ds. organizacyjnych projektu, specjalista ds. rekrutacji i monitoringu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7.  </w:t>
        <w:tab/>
        <w:t xml:space="preserve">Kursy / warsztaty – zajęcia dodatkowe skierowane do branż kształconych w zawodach Zespołu Szkół Technicznych w Białymstoku.</w:t>
      </w:r>
    </w:p>
    <w:p w:rsidR="00000000" w:rsidDel="00000000" w:rsidP="00000000" w:rsidRDefault="00000000" w:rsidRPr="00000000" w14:paraId="00000010">
      <w:pPr>
        <w:spacing w:after="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2</w:t>
      </w:r>
    </w:p>
    <w:p w:rsidR="00000000" w:rsidDel="00000000" w:rsidP="00000000" w:rsidRDefault="00000000" w:rsidRPr="00000000" w14:paraId="00000014">
      <w:pPr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Informacje ogólne</w:t>
      </w:r>
    </w:p>
    <w:p w:rsidR="00000000" w:rsidDel="00000000" w:rsidP="00000000" w:rsidRDefault="00000000" w:rsidRPr="00000000" w14:paraId="00000015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 </w:t>
        <w:tab/>
        <w:t xml:space="preserve">Projekt skierowany jest do uczniów Zespołu Szkół Technicznych im. gen. Wł. Andersa w Białymstoku, ul. Stołeczna 21, 15-879 Białystok. Celem głównym Projektu 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do 30.06.2023 roku.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 </w:t>
        <w:tab/>
        <w:t xml:space="preserve">Złożone przez kandydatkę/kandydata dokumenty nie podlegają zwrotowi.</w:t>
      </w:r>
    </w:p>
    <w:p w:rsidR="00000000" w:rsidDel="00000000" w:rsidP="00000000" w:rsidRDefault="00000000" w:rsidRPr="00000000" w14:paraId="00000017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3.  </w:t>
        <w:tab/>
        <w:t xml:space="preserve">Regulamin określa proces rekrutacji uczestników do Projektu.</w:t>
      </w:r>
    </w:p>
    <w:p w:rsidR="00000000" w:rsidDel="00000000" w:rsidP="00000000" w:rsidRDefault="00000000" w:rsidRPr="00000000" w14:paraId="00000018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 </w:t>
        <w:tab/>
        <w:t xml:space="preserve">Udział w kursach jest bezpłatny.</w:t>
      </w:r>
    </w:p>
    <w:p w:rsidR="00000000" w:rsidDel="00000000" w:rsidP="00000000" w:rsidRDefault="00000000" w:rsidRPr="00000000" w14:paraId="00000019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5.  </w:t>
        <w:tab/>
        <w:t xml:space="preserve">Biuro Projektu znajduje się w Zespole Szkół Technicznych im. gen. Wł. Andersa w Białymstoku, ul. Stołeczna 21, 15-879 Białystok.</w:t>
      </w:r>
    </w:p>
    <w:p w:rsidR="00000000" w:rsidDel="00000000" w:rsidP="00000000" w:rsidRDefault="00000000" w:rsidRPr="00000000" w14:paraId="0000001A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  </w:t>
        <w:tab/>
        <w:t xml:space="preserve">Rekrutacja do udziału w projekcie       </w:t>
        <w:tab/>
        <w:t xml:space="preserve"> prowadzona będzie z poszanowaniem praw uczestników niezależnie od ich pochodzenia etnicznego, narodowego, religii, niepełnosprawności, wieku, płci, orientacji seksualnej, rasy, statusu społeczno – ekonomicznego.</w:t>
      </w:r>
    </w:p>
    <w:p w:rsidR="00000000" w:rsidDel="00000000" w:rsidP="00000000" w:rsidRDefault="00000000" w:rsidRPr="00000000" w14:paraId="0000001B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3</w:t>
      </w:r>
    </w:p>
    <w:p w:rsidR="00000000" w:rsidDel="00000000" w:rsidP="00000000" w:rsidRDefault="00000000" w:rsidRPr="00000000" w14:paraId="0000001C">
      <w:pPr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Uczestnicy</w:t>
      </w:r>
    </w:p>
    <w:p w:rsidR="00000000" w:rsidDel="00000000" w:rsidP="00000000" w:rsidRDefault="00000000" w:rsidRPr="00000000" w14:paraId="0000001D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 </w:t>
        <w:tab/>
        <w:t xml:space="preserve">Uczestnikiem Projektu może być uczeń Zespołu Szkół Technicznych w Białymstoku, który złoży kwestionariusz zgłoszeniowy do projektu, deklaracje uczestnictwa w projekcie oraz oświadczenie uczestnika projektu o przetwarzaniu danych osobowych w Biurze Projektu.</w:t>
      </w:r>
    </w:p>
    <w:p w:rsidR="00000000" w:rsidDel="00000000" w:rsidP="00000000" w:rsidRDefault="00000000" w:rsidRPr="00000000" w14:paraId="0000001E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 </w:t>
        <w:tab/>
        <w:t xml:space="preserve">Uczniowie wyrażający chęć wzięcia udziału w Kursach w przypadku wcześniejszego nie złożenia dokumentów o których mowa w ust. 1 wraz z wnioskiem o udział w Kursach składają w/w dokumenty.</w:t>
      </w:r>
    </w:p>
    <w:p w:rsidR="00000000" w:rsidDel="00000000" w:rsidP="00000000" w:rsidRDefault="00000000" w:rsidRPr="00000000" w14:paraId="0000001F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3.  </w:t>
        <w:tab/>
        <w:t xml:space="preserve">Dokumenty wymienione w ust. 1 i 2 wymagają w przypadku niepełnoletności ucznia, podpisania jej także przez rodzica lub prawnego opiekuna ucznia. Do 31 maja 2022r. uczeń musi mieć ukończone 18 lat (nie dotyczy kursu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montażu samochodowych instalacji gazowych/LPG).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 </w:t>
        <w:tab/>
        <w:t xml:space="preserve">Uczestnicy kursów zostaną wybrani spośród uczniów, na podstawie złożonych wniosków o udział w danej formie wsparcia.</w:t>
      </w:r>
    </w:p>
    <w:p w:rsidR="00000000" w:rsidDel="00000000" w:rsidP="00000000" w:rsidRDefault="00000000" w:rsidRPr="00000000" w14:paraId="00000021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5.  </w:t>
        <w:tab/>
        <w:t xml:space="preserve">Przy wyborze uczestników Komisja Rekrutacyjna kierować się będzie oprócz wymogów określonych w ust.1, kryteriami zamieszczonymi w § 6.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  </w:t>
        <w:tab/>
        <w:t xml:space="preserve">W przypadku uzyskania przez dwóch lub więcej uczniów takiej samej liczby punktów, o kolejności na liście rankingowej rozstrzygać będą punkty uzyskane w ramach kryteriów różnicujących.</w:t>
      </w:r>
    </w:p>
    <w:p w:rsidR="00000000" w:rsidDel="00000000" w:rsidP="00000000" w:rsidRDefault="00000000" w:rsidRPr="00000000" w14:paraId="00000023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7.  </w:t>
        <w:tab/>
        <w:t xml:space="preserve">W celu zapewnienia jak największej ilości osób możliwości skorzystania ze wsparcia w ramach Projektu, uczniowie mają prawo udziału w 1 cyklu kursów.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8.  </w:t>
        <w:tab/>
        <w:t xml:space="preserve">Określenie preferowanych kursów następuje poprzez nadanie każdemu numerów od 1, gdzie 1 oznacza kurs którym jest najbardziej zainteresowany kandydat.</w:t>
      </w:r>
    </w:p>
    <w:p w:rsidR="00000000" w:rsidDel="00000000" w:rsidP="00000000" w:rsidRDefault="00000000" w:rsidRPr="00000000" w14:paraId="00000025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9.  </w:t>
        <w:tab/>
        <w:t xml:space="preserve">Do każdego rodzaju kursów zostanie zakwalifikowana określona liczba uczestników zgodnie z limitami określonymi w § 5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10.  Po ocenie złożonych wniosków Komisja Rekrutacyjna może:</w:t>
      </w:r>
    </w:p>
    <w:p w:rsidR="00000000" w:rsidDel="00000000" w:rsidP="00000000" w:rsidRDefault="00000000" w:rsidRPr="00000000" w14:paraId="00000027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1)  </w:t>
        <w:tab/>
        <w:t xml:space="preserve">przeprowadzić rekrutację uzupełniającą,</w:t>
      </w:r>
    </w:p>
    <w:p w:rsidR="00000000" w:rsidDel="00000000" w:rsidP="00000000" w:rsidRDefault="00000000" w:rsidRPr="00000000" w14:paraId="00000028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2)  </w:t>
        <w:tab/>
        <w:t xml:space="preserve">znieść ograniczenia wynikające z zapisów ust. 7,</w:t>
      </w:r>
    </w:p>
    <w:p w:rsidR="00000000" w:rsidDel="00000000" w:rsidP="00000000" w:rsidRDefault="00000000" w:rsidRPr="00000000" w14:paraId="00000029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3)  </w:t>
        <w:tab/>
        <w:t xml:space="preserve">zrezygnować z realizacji danego cyklu kursów,</w:t>
      </w:r>
    </w:p>
    <w:p w:rsidR="00000000" w:rsidDel="00000000" w:rsidP="00000000" w:rsidRDefault="00000000" w:rsidRPr="00000000" w14:paraId="0000002A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4)  </w:t>
        <w:tab/>
        <w:t xml:space="preserve">podjąć inną decyzję na podstawie analizy złożonych dokumentów.</w:t>
      </w:r>
    </w:p>
    <w:p w:rsidR="00000000" w:rsidDel="00000000" w:rsidP="00000000" w:rsidRDefault="00000000" w:rsidRPr="00000000" w14:paraId="0000002B">
      <w:pPr>
        <w:spacing w:after="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4</w:t>
      </w:r>
    </w:p>
    <w:p w:rsidR="00000000" w:rsidDel="00000000" w:rsidP="00000000" w:rsidRDefault="00000000" w:rsidRPr="00000000" w14:paraId="0000002D">
      <w:pPr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Proces rekrutacji</w:t>
      </w:r>
    </w:p>
    <w:p w:rsidR="00000000" w:rsidDel="00000000" w:rsidP="00000000" w:rsidRDefault="00000000" w:rsidRPr="00000000" w14:paraId="0000002E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 </w:t>
        <w:tab/>
        <w:t xml:space="preserve">Nabór uczniów zainteresowanych udziałem w kursach w roku szkolnym 2021/2022 odbywa się w terminie od 18 marca do 24 marca 2022 r.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 </w:t>
        <w:tab/>
        <w:t xml:space="preserve">Regulamin i wnioski znajdują się w wersji elektronicznej na stronie szkoły w zakładce „projekty”, zaś wnioski w wersji papierowej - zostaną umieszczone przy wejściu głównym do szkoły. Regulamin wywieszony jest na tablicy ogłoszeń.</w:t>
      </w:r>
    </w:p>
    <w:p w:rsidR="00000000" w:rsidDel="00000000" w:rsidP="00000000" w:rsidRDefault="00000000" w:rsidRPr="00000000" w14:paraId="00000030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3.  </w:t>
        <w:tab/>
        <w:t xml:space="preserve">Uczeń zainteresowany uczestnictwem w formie wsparcia będącej przedmiotem ogłoszenia zobowiązany jest złożyć wniosek o udział w kursach stanowiący Załącznik nr 1 do regulaminu.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 </w:t>
        <w:tab/>
        <w:t xml:space="preserve">Kandydat jest zobowiązany zwrócić się do w/w nauczyciela o wypełnienie dokumentu we wskazanym miejscu, potwierdzony podpisem</w:t>
      </w:r>
    </w:p>
    <w:p w:rsidR="00000000" w:rsidDel="00000000" w:rsidP="00000000" w:rsidRDefault="00000000" w:rsidRPr="00000000" w14:paraId="00000032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5.  </w:t>
        <w:tab/>
        <w:t xml:space="preserve">Kandydaci składają kompletną dokumentację w terminie określonym w ust. 1 poprzez wybranie jednej z poniższych form:</w:t>
      </w:r>
    </w:p>
    <w:p w:rsidR="00000000" w:rsidDel="00000000" w:rsidP="00000000" w:rsidRDefault="00000000" w:rsidRPr="00000000" w14:paraId="00000033">
      <w:pPr>
        <w:spacing w:after="240" w:before="240" w:lineRule="auto"/>
        <w:ind w:left="144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1)  </w:t>
        <w:tab/>
        <w:t xml:space="preserve">poprzez umieszczenie wniosku w skrzyni zabezpieczonej pieczęciami szkoły. Skrzynia ta znajduje się przy wejściu głównym do szkoły.</w:t>
      </w:r>
    </w:p>
    <w:p w:rsidR="00000000" w:rsidDel="00000000" w:rsidP="00000000" w:rsidRDefault="00000000" w:rsidRPr="00000000" w14:paraId="00000034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6.  </w:t>
        <w:tab/>
        <w:t xml:space="preserve">poprzez przesłanie wersji papierowej dokumentacji pocztą, bądź kurierem na adres szkoły (ZST w B-stoku, ul. Stołeczna 21, 15-879 Białystok) z dopiskiem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zgłoszenie do udziału w projekcie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”</w:t>
      </w:r>
    </w:p>
    <w:p w:rsidR="00000000" w:rsidDel="00000000" w:rsidP="00000000" w:rsidRDefault="00000000" w:rsidRPr="00000000" w14:paraId="00000035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7.  </w:t>
        <w:tab/>
        <w:t xml:space="preserve">Składane Wnioski należy uzupełnić czytelnie. Wskazane jest uzupełnienie w formie elektronicznej oraz wydruk gotowych Wniosków. Należy zwrócić szczególna uwagę na poprawność uzupełnianych danych.</w:t>
      </w:r>
    </w:p>
    <w:p w:rsidR="00000000" w:rsidDel="00000000" w:rsidP="00000000" w:rsidRDefault="00000000" w:rsidRPr="00000000" w14:paraId="00000036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8.  </w:t>
        <w:tab/>
        <w:t xml:space="preserve">Komisja Rekrutacyjna po zakończeniu terminu naboru dokonuje oceny złożonych formularzy. W ramach możliwości Komisja może poddać weryfikacji prawdziwość informacji zawartych w formularzach.</w:t>
      </w:r>
    </w:p>
    <w:p w:rsidR="00000000" w:rsidDel="00000000" w:rsidP="00000000" w:rsidRDefault="00000000" w:rsidRPr="00000000" w14:paraId="00000037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9.  </w:t>
        <w:tab/>
        <w:t xml:space="preserve">Specjalista ds. rekrutacji i monitoringu zweryfikuje pod względem formalnym dane zawarte w formularzach zgłoszeniowych oraz wniosku o udział w danej formie wsparcia.</w:t>
      </w:r>
    </w:p>
    <w:p w:rsidR="00000000" w:rsidDel="00000000" w:rsidP="00000000" w:rsidRDefault="00000000" w:rsidRPr="00000000" w14:paraId="00000038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10.  W przypadku braków dokumentów o których mowa w paragrafie 3 ust. 1 Specjalista ds. rekrutacji i monitoringu wezwie kandydata do uzupełnienia wymaganych dokumentów.</w:t>
      </w:r>
    </w:p>
    <w:p w:rsidR="00000000" w:rsidDel="00000000" w:rsidP="00000000" w:rsidRDefault="00000000" w:rsidRPr="00000000" w14:paraId="00000039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11.  Kandydat może zostać wezwany do uzupełniania innych danych, w tym weryfikacji podanych w złożonych dokumentach informacji, czy informacji w zakresie kryteriów różnicujących.</w:t>
      </w:r>
    </w:p>
    <w:p w:rsidR="00000000" w:rsidDel="00000000" w:rsidP="00000000" w:rsidRDefault="00000000" w:rsidRPr="00000000" w14:paraId="0000003A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12.  Specjalista ds. rekrutacji i monitoringu sporządzi szkolną listę rankingową.</w:t>
      </w:r>
    </w:p>
    <w:p w:rsidR="00000000" w:rsidDel="00000000" w:rsidP="00000000" w:rsidRDefault="00000000" w:rsidRPr="00000000" w14:paraId="0000003B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13.  Komisja Rekrutacyjna podejmuje decyzję o zakwalifikowaniu do projektu uczniów spełniających wymogi formalne, z uwzględnieniem kryteriów punktowych. Komisja uchwala listy osób zakwalifikowanych do projektu oraz listy osób rezerwowych.</w:t>
      </w:r>
    </w:p>
    <w:p w:rsidR="00000000" w:rsidDel="00000000" w:rsidP="00000000" w:rsidRDefault="00000000" w:rsidRPr="00000000" w14:paraId="0000003C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14.  Komisja, powiadamia uczniów osobiście, mailem, telefonicznie lub poprzez wywieszenie listy osób zakwalifikowanych do danej formy wsparcia wraz z listą rezerwową.</w:t>
      </w:r>
    </w:p>
    <w:p w:rsidR="00000000" w:rsidDel="00000000" w:rsidP="00000000" w:rsidRDefault="00000000" w:rsidRPr="00000000" w14:paraId="0000003D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15.  Uczeń zakwalifikowany do uczestnictwa w projekcie może zostać skreślony z listy uczestników w przypadku:</w:t>
      </w:r>
    </w:p>
    <w:p w:rsidR="00000000" w:rsidDel="00000000" w:rsidP="00000000" w:rsidRDefault="00000000" w:rsidRPr="00000000" w14:paraId="0000003E">
      <w:pPr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1)      na wniosek Wykonawcy prowadzącego daną formę wsparcia lub na wniosek zarządzających Projektem uzasadniony rażącym naruszaniem zasad uczestnictwa w zajęciach,</w:t>
      </w:r>
    </w:p>
    <w:p w:rsidR="00000000" w:rsidDel="00000000" w:rsidP="00000000" w:rsidRDefault="00000000" w:rsidRPr="00000000" w14:paraId="0000003F">
      <w:pPr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2)      w przypadku nieusprawiedliwionego opuszczenia formy wsparcia do której uczestnik został zakwalifikowany,</w:t>
      </w:r>
    </w:p>
    <w:p w:rsidR="00000000" w:rsidDel="00000000" w:rsidP="00000000" w:rsidRDefault="00000000" w:rsidRPr="00000000" w14:paraId="00000040">
      <w:pPr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3)      samodzielnej rezygnacji uczestnika,</w:t>
      </w:r>
    </w:p>
    <w:p w:rsidR="00000000" w:rsidDel="00000000" w:rsidP="00000000" w:rsidRDefault="00000000" w:rsidRPr="00000000" w14:paraId="00000041">
      <w:pPr>
        <w:spacing w:after="240" w:before="240" w:lineRule="auto"/>
        <w:ind w:left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4)      skreślenia go z listy uczniów danej szkoły.</w:t>
      </w:r>
    </w:p>
    <w:p w:rsidR="00000000" w:rsidDel="00000000" w:rsidP="00000000" w:rsidRDefault="00000000" w:rsidRPr="00000000" w14:paraId="00000042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16.  Skreślenia ucznia z listy uczestników projektu w przypadkach, o których mowa w ustępie 12 dokonuje Komisja wpisując na listę uczestników warsztatów osobę z listy rezerwowej, zakwalifikowaną do zastąpienia osoby skreślonej z listy.</w:t>
      </w:r>
    </w:p>
    <w:p w:rsidR="00000000" w:rsidDel="00000000" w:rsidP="00000000" w:rsidRDefault="00000000" w:rsidRPr="00000000" w14:paraId="00000043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5</w:t>
      </w:r>
    </w:p>
    <w:p w:rsidR="00000000" w:rsidDel="00000000" w:rsidP="00000000" w:rsidRDefault="00000000" w:rsidRPr="00000000" w14:paraId="00000044">
      <w:pPr>
        <w:spacing w:after="240" w:before="240" w:lineRule="auto"/>
        <w:ind w:left="700" w:hanging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ramach projektu realizowane będą następujące działania:</w:t>
      </w:r>
    </w:p>
    <w:p w:rsidR="00000000" w:rsidDel="00000000" w:rsidP="00000000" w:rsidRDefault="00000000" w:rsidRPr="00000000" w14:paraId="00000045">
      <w:pPr>
        <w:spacing w:after="0" w:before="240" w:line="276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Kurs spawania elektrodą metalową w osłonie gazów aktywnych –MAG-– 12 osób</w:t>
      </w:r>
    </w:p>
    <w:p w:rsidR="00000000" w:rsidDel="00000000" w:rsidP="00000000" w:rsidRDefault="00000000" w:rsidRPr="00000000" w14:paraId="00000046">
      <w:pPr>
        <w:spacing w:after="0" w:before="240" w:line="276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Kurs spawania nietopliwą elektrodą wolframową w osłonie gazów obojętnych –wykonywanie spoin pachwinowych -TIG– 7 osób</w:t>
      </w:r>
    </w:p>
    <w:p w:rsidR="00000000" w:rsidDel="00000000" w:rsidP="00000000" w:rsidRDefault="00000000" w:rsidRPr="00000000" w14:paraId="00000047">
      <w:pPr>
        <w:spacing w:after="0" w:before="240" w:line="276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 Kurs montażu samochodowych instalacji gazowych – 10 osób</w:t>
      </w:r>
    </w:p>
    <w:p w:rsidR="00000000" w:rsidDel="00000000" w:rsidP="00000000" w:rsidRDefault="00000000" w:rsidRPr="00000000" w14:paraId="00000048">
      <w:pPr>
        <w:spacing w:after="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0" w:befor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6</w:t>
      </w:r>
    </w:p>
    <w:p w:rsidR="00000000" w:rsidDel="00000000" w:rsidP="00000000" w:rsidRDefault="00000000" w:rsidRPr="00000000" w14:paraId="0000004C">
      <w:pPr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Kryteria punktowe</w:t>
      </w:r>
    </w:p>
    <w:p w:rsidR="00000000" w:rsidDel="00000000" w:rsidP="00000000" w:rsidRDefault="00000000" w:rsidRPr="00000000" w14:paraId="0000004D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 </w:t>
        <w:tab/>
        <w:t xml:space="preserve">Kryteria przyjęte do oceny złożonych wniosków są podzielone na:</w:t>
      </w:r>
    </w:p>
    <w:p w:rsidR="00000000" w:rsidDel="00000000" w:rsidP="00000000" w:rsidRDefault="00000000" w:rsidRPr="00000000" w14:paraId="0000004E">
      <w:pPr>
        <w:spacing w:after="240" w:before="240" w:lineRule="auto"/>
        <w:ind w:left="14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1)  </w:t>
        <w:tab/>
        <w:t xml:space="preserve">formalne:</w:t>
      </w:r>
    </w:p>
    <w:p w:rsidR="00000000" w:rsidDel="00000000" w:rsidP="00000000" w:rsidRDefault="00000000" w:rsidRPr="00000000" w14:paraId="0000004F">
      <w:pPr>
        <w:spacing w:after="240" w:before="240" w:lineRule="auto"/>
        <w:ind w:left="178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a)  </w:t>
        <w:tab/>
        <w:t xml:space="preserve">ukończone na dzień 31.05.2022 18 lat (nie dotyczy kursu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montażu samochodowych instalacji gazowych/LPG).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ind w:left="14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2)  </w:t>
        <w:tab/>
        <w:t xml:space="preserve">podstawowe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punktowane są wszystkie osiągnięcia w zakresie przedmiotów zawodowych uzyskane w konkursach, turniejach lub olimpiadach (kategorie indywidualne i grupowe) we wskazanym na wniosku okresie;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opinia nauczycieli przedmiotów zawodowych;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udział w kołach zainteresowań;  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udział w konkursach szkolnych w kategorii mającej bezpośredni związek z kierunkiem kształcenia;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uzyskana średnia z ocen przedmiotów zawodowych I półroczu roku szkolnego 2021/2022;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uzyskana średnia z ocen I w półroczu roku szkolnego 2021/2022;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frekwencja w I w półroczu roku szkolnego 2021/2022;</w:t>
      </w:r>
    </w:p>
    <w:p w:rsidR="00000000" w:rsidDel="00000000" w:rsidP="00000000" w:rsidRDefault="00000000" w:rsidRPr="00000000" w14:paraId="00000058">
      <w:pPr>
        <w:spacing w:after="0" w:lineRule="auto"/>
        <w:ind w:left="14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3)  </w:t>
        <w:tab/>
        <w:t xml:space="preserve">kryteria różnicujące</w:t>
      </w:r>
    </w:p>
    <w:p w:rsidR="00000000" w:rsidDel="00000000" w:rsidP="00000000" w:rsidRDefault="00000000" w:rsidRPr="00000000" w14:paraId="00000059">
      <w:pPr>
        <w:spacing w:after="240" w:before="240" w:lineRule="auto"/>
        <w:ind w:left="214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a)  </w:t>
        <w:tab/>
        <w:t xml:space="preserve">dochód na jednego członka rodziny z lutego 2022r.;</w:t>
      </w:r>
    </w:p>
    <w:p w:rsidR="00000000" w:rsidDel="00000000" w:rsidP="00000000" w:rsidRDefault="00000000" w:rsidRPr="00000000" w14:paraId="0000005A">
      <w:pPr>
        <w:spacing w:after="240" w:before="240" w:lineRule="auto"/>
        <w:ind w:left="214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b)  </w:t>
        <w:tab/>
        <w:t xml:space="preserve">udział w stażach realizowanych w ramach Projektu</w:t>
      </w:r>
    </w:p>
    <w:p w:rsidR="00000000" w:rsidDel="00000000" w:rsidP="00000000" w:rsidRDefault="00000000" w:rsidRPr="00000000" w14:paraId="0000005B">
      <w:pPr>
        <w:spacing w:after="240" w:before="240" w:lineRule="auto"/>
        <w:ind w:left="214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c)  </w:t>
        <w:tab/>
        <w:t xml:space="preserve">uczestnictwo w zajęciach dydaktyczno-wyrównawczych w ramach Projektu.</w:t>
      </w:r>
    </w:p>
    <w:p w:rsidR="00000000" w:rsidDel="00000000" w:rsidP="00000000" w:rsidRDefault="00000000" w:rsidRPr="00000000" w14:paraId="0000005C">
      <w:p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 </w:t>
        <w:tab/>
        <w:t xml:space="preserve">Pozytywnie zweryfikowane pod względem formalnym wnioski zostaną ocenione na podstawie kryteriów określonych w ust. 1 pkt. 1. W przypadku, gdy dwa lub więcej wniosków uzyska taką samą liczbę punktów, o miejscu na liście decydują kryteria różnicujące określone w ust. 1 pkt. 3.</w:t>
      </w:r>
    </w:p>
    <w:p w:rsidR="00000000" w:rsidDel="00000000" w:rsidP="00000000" w:rsidRDefault="00000000" w:rsidRPr="00000000" w14:paraId="0000005D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0" w:before="240" w:lineRule="auto"/>
        <w:jc w:val="center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§ 7</w:t>
      </w:r>
    </w:p>
    <w:p w:rsidR="00000000" w:rsidDel="00000000" w:rsidP="00000000" w:rsidRDefault="00000000" w:rsidRPr="00000000" w14:paraId="0000005F">
      <w:pPr>
        <w:spacing w:after="0" w:before="240" w:lineRule="auto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Postanowienia końcowe</w:t>
      </w:r>
    </w:p>
    <w:p w:rsidR="00000000" w:rsidDel="00000000" w:rsidP="00000000" w:rsidRDefault="00000000" w:rsidRPr="00000000" w14:paraId="00000060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  </w:t>
        <w:tab/>
        <w:t xml:space="preserve">Regulamin rekrutacji wchodzi w życie z dniem ogłoszenia</w:t>
      </w:r>
    </w:p>
    <w:p w:rsidR="00000000" w:rsidDel="00000000" w:rsidP="00000000" w:rsidRDefault="00000000" w:rsidRPr="00000000" w14:paraId="00000061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 </w:t>
        <w:tab/>
        <w:t xml:space="preserve">Uczestnik projektu ma obowiązek wypełniania ankiet ewaluacyjnych i uczestnictwa w zajęciach w wyznaczonych terminach.</w:t>
      </w:r>
    </w:p>
    <w:p w:rsidR="00000000" w:rsidDel="00000000" w:rsidP="00000000" w:rsidRDefault="00000000" w:rsidRPr="00000000" w14:paraId="00000062">
      <w:pPr>
        <w:spacing w:after="240" w:before="240" w:lineRule="auto"/>
        <w:ind w:left="720" w:hanging="36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3.  </w:t>
        <w:tab/>
        <w:t xml:space="preserve">Wszelkie sprawy związane z interpretacją regulaminu rozstrzygane są przez Kierownika Projektu.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75565</wp:posOffset>
          </wp:positionV>
          <wp:extent cx="5760720" cy="504190"/>
          <wp:effectExtent b="0" l="0" r="0" t="0"/>
          <wp:wrapTopAndBottom distB="0" distT="0"/>
          <wp:docPr descr="Zestaw+logotypó+monochrom+GRAY+EFS[1]" id="3" name="image1.jpg"/>
          <a:graphic>
            <a:graphicData uri="http://schemas.openxmlformats.org/drawingml/2006/picture">
              <pic:pic>
                <pic:nvPicPr>
                  <pic:cNvPr descr="Zestaw+logotypó+monochrom+GRAY+EFS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Pogrubienie">
    <w:name w:val="Strong"/>
    <w:basedOn w:val="Domylnaczcionkaakapitu"/>
    <w:uiPriority w:val="22"/>
    <w:qFormat w:val="1"/>
    <w:rsid w:val="00A81A59"/>
    <w:rPr>
      <w:b w:val="1"/>
      <w:bCs w:val="1"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treci2" w:customStyle="1">
    <w:name w:val="Tekst treści (2)_"/>
    <w:basedOn w:val="Domylnaczcionkaakapitu"/>
    <w:link w:val="Teksttreci20"/>
    <w:rsid w:val="002C5BE5"/>
    <w:rPr>
      <w:rFonts w:ascii="Calibri" w:cs="Calibri" w:eastAsia="Calibri" w:hAnsi="Calibri"/>
      <w:sz w:val="60"/>
      <w:szCs w:val="60"/>
      <w:shd w:color="auto" w:fill="ffffff" w:val="clear"/>
    </w:rPr>
  </w:style>
  <w:style w:type="paragraph" w:styleId="Teksttreci20" w:customStyle="1">
    <w:name w:val="Tekst treści (2)"/>
    <w:basedOn w:val="Normalny"/>
    <w:link w:val="Teksttreci2"/>
    <w:rsid w:val="002C5BE5"/>
    <w:pPr>
      <w:widowControl w:val="0"/>
      <w:shd w:color="auto" w:fill="ffffff" w:val="clear"/>
      <w:spacing w:after="0" w:before="300" w:line="0" w:lineRule="atLeast"/>
      <w:ind w:hanging="900"/>
      <w:jc w:val="center"/>
    </w:pPr>
    <w:rPr>
      <w:rFonts w:ascii="Calibri" w:cs="Calibri" w:eastAsia="Calibri" w:hAnsi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 w:val="1"/>
    <w:rsid w:val="002C5BE5"/>
    <w:pPr>
      <w:ind w:left="720"/>
      <w:contextualSpacing w:val="1"/>
    </w:pPr>
  </w:style>
  <w:style w:type="paragraph" w:styleId="Default" w:customStyle="1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64FA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64FAE"/>
    <w:rPr>
      <w:rFonts w:ascii="Segoe UI" w:cs="Segoe UI" w:hAnsi="Segoe UI"/>
      <w:sz w:val="18"/>
      <w:szCs w:val="18"/>
    </w:rPr>
  </w:style>
  <w:style w:type="paragraph" w:styleId="NormalnyWeb">
    <w:name w:val="Normal (Web)"/>
    <w:basedOn w:val="Normalny"/>
    <w:uiPriority w:val="99"/>
    <w:unhideWhenUsed w:val="1"/>
    <w:rsid w:val="00F255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Teksttreci3" w:customStyle="1">
    <w:name w:val="Tekst treści (3)_"/>
    <w:basedOn w:val="Domylnaczcionkaakapitu"/>
    <w:link w:val="Teksttreci30"/>
    <w:rsid w:val="005F7D50"/>
    <w:rPr>
      <w:rFonts w:ascii="Times New Roman" w:cs="Times New Roman" w:eastAsia="Times New Roman" w:hAnsi="Times New Roman"/>
      <w:b w:val="1"/>
      <w:bCs w:val="1"/>
      <w:sz w:val="21"/>
      <w:szCs w:val="21"/>
      <w:shd w:color="auto" w:fill="ffffff" w:val="clear"/>
    </w:rPr>
  </w:style>
  <w:style w:type="paragraph" w:styleId="Teksttreci30" w:customStyle="1">
    <w:name w:val="Tekst treści (3)"/>
    <w:basedOn w:val="Normalny"/>
    <w:link w:val="Teksttreci3"/>
    <w:rsid w:val="005F7D50"/>
    <w:pPr>
      <w:widowControl w:val="0"/>
      <w:shd w:color="auto" w:fill="ffffff" w:val="clear"/>
      <w:spacing w:after="0" w:line="274" w:lineRule="exact"/>
    </w:pPr>
    <w:rPr>
      <w:rFonts w:ascii="Times New Roman" w:cs="Times New Roman" w:eastAsia="Times New Roman" w:hAnsi="Times New Roman"/>
      <w:b w:val="1"/>
      <w:bCs w:val="1"/>
      <w:sz w:val="21"/>
      <w:szCs w:val="21"/>
    </w:rPr>
  </w:style>
  <w:style w:type="character" w:styleId="Teksttreci2TimesNewRoman9pt" w:customStyle="1">
    <w:name w:val="Tekst treści (2) + Times New Roman;9 pt"/>
    <w:basedOn w:val="Teksttreci2"/>
    <w:rsid w:val="00563CC7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color="auto" w:fill="ffffff" w:val="clear"/>
      <w:lang w:bidi="pl-PL" w:eastAsia="pl-PL" w:val="pl-PL"/>
    </w:rPr>
  </w:style>
  <w:style w:type="character" w:styleId="PogrubienieTeksttreci2TimesNewRoman8pt" w:customStyle="1">
    <w:name w:val="Pogrubienie;Tekst treści (2) + Times New Roman;8 pt"/>
    <w:basedOn w:val="Teksttreci2"/>
    <w:rsid w:val="00563CC7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color="auto" w:fill="ffffff" w:val="clear"/>
      <w:lang w:bidi="pl-PL" w:eastAsia="pl-PL" w:val="pl-PL"/>
    </w:rPr>
  </w:style>
  <w:style w:type="paragraph" w:styleId="Nagwek">
    <w:name w:val="header"/>
    <w:basedOn w:val="Normalny"/>
    <w:link w:val="NagwekZnak"/>
    <w:uiPriority w:val="99"/>
    <w:unhideWhenUsed w:val="1"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styleId="NagwekZnak" w:customStyle="1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styleId="AkapitzlistZnak" w:customStyle="1">
    <w:name w:val="Akapit z listą Znak"/>
    <w:link w:val="Akapitzlist"/>
    <w:uiPriority w:val="34"/>
    <w:locked w:val="1"/>
    <w:rsid w:val="00AD7A1D"/>
  </w:style>
  <w:style w:type="character" w:styleId="Teksttreci2TimesNewRoman9ptKursywa" w:customStyle="1">
    <w:name w:val="Tekst treści (2) + Times New Roman;9 pt;Kursywa"/>
    <w:basedOn w:val="Teksttreci2"/>
    <w:rsid w:val="008A1F73"/>
    <w:rPr>
      <w:rFonts w:ascii="Times New Roman" w:cs="Times New Roman" w:eastAsia="Times New Roman" w:hAnsi="Times New Roman"/>
      <w:b w:val="0"/>
      <w:bCs w:val="0"/>
      <w:i w:val="1"/>
      <w:iCs w:val="1"/>
      <w:smallCaps w:val="0"/>
      <w:strike w:val="0"/>
      <w:color w:val="000000"/>
      <w:spacing w:val="0"/>
      <w:w w:val="100"/>
      <w:position w:val="0"/>
      <w:sz w:val="18"/>
      <w:szCs w:val="18"/>
      <w:u w:val="none"/>
      <w:shd w:color="auto" w:fill="ffffff" w:val="clear"/>
      <w:lang w:bidi="pl-PL" w:eastAsia="pl-PL" w:val="pl-PL"/>
    </w:rPr>
  </w:style>
  <w:style w:type="character" w:styleId="Teksttreci2Exact" w:customStyle="1">
    <w:name w:val="Tekst treści (2) Exact"/>
    <w:basedOn w:val="Domylnaczcionkaakapitu"/>
    <w:rsid w:val="003D4BC7"/>
    <w:rPr>
      <w:rFonts w:ascii="Calibri" w:cs="Calibri" w:eastAsia="Calibri" w:hAnsi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gwpb9ff6463msolistparagraph" w:customStyle="1">
    <w:name w:val="gwpb9ff6463_msolistparagraph"/>
    <w:basedOn w:val="Normalny"/>
    <w:rsid w:val="00D663A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Teksttreci6" w:customStyle="1">
    <w:name w:val="Tekst treści (6)_"/>
    <w:basedOn w:val="Domylnaczcionkaakapitu"/>
    <w:link w:val="Teksttreci60"/>
    <w:rsid w:val="00872201"/>
    <w:rPr>
      <w:rFonts w:ascii="Times New Roman" w:cs="Times New Roman" w:eastAsia="Times New Roman" w:hAnsi="Times New Roman"/>
      <w:b w:val="1"/>
      <w:bCs w:val="1"/>
      <w:shd w:color="auto" w:fill="ffffff" w:val="clear"/>
    </w:rPr>
  </w:style>
  <w:style w:type="paragraph" w:styleId="Teksttreci60" w:customStyle="1">
    <w:name w:val="Tekst treści (6)"/>
    <w:basedOn w:val="Normalny"/>
    <w:link w:val="Teksttreci6"/>
    <w:rsid w:val="00872201"/>
    <w:pPr>
      <w:widowControl w:val="0"/>
      <w:shd w:color="auto" w:fill="ffffff" w:val="clear"/>
      <w:spacing w:after="600" w:line="0" w:lineRule="atLeast"/>
      <w:jc w:val="both"/>
    </w:pPr>
    <w:rPr>
      <w:rFonts w:ascii="Times New Roman" w:cs="Times New Roman" w:eastAsia="Times New Roman" w:hAnsi="Times New Roman"/>
      <w:b w:val="1"/>
      <w:bCs w:val="1"/>
    </w:rPr>
  </w:style>
  <w:style w:type="paragraph" w:styleId="Stopka">
    <w:name w:val="footer"/>
    <w:basedOn w:val="Normalny"/>
    <w:link w:val="StopkaZnak"/>
    <w:uiPriority w:val="99"/>
    <w:unhideWhenUsed w:val="1"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95369"/>
  </w:style>
  <w:style w:type="paragraph" w:styleId="gwp101c483amsonormal" w:customStyle="1">
    <w:name w:val="gwp101c483a_msonormal"/>
    <w:basedOn w:val="Normalny"/>
    <w:rsid w:val="009874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cs="Times New Roman" w:eastAsia="Times New Roman" w:hAnsi="Times New Roman"/>
      <w:sz w:val="20"/>
      <w:szCs w:val="28"/>
      <w:lang w:eastAsia="pl-PL" w:val="fi-FI"/>
    </w:rPr>
  </w:style>
  <w:style w:type="character" w:styleId="TekstpodstawowyZnak" w:customStyle="1">
    <w:name w:val="Tekst podstawowy Znak"/>
    <w:basedOn w:val="Domylnaczcionkaakapitu"/>
    <w:link w:val="Tekstpodstawowy"/>
    <w:rsid w:val="00872A57"/>
    <w:rPr>
      <w:rFonts w:ascii="Times New Roman" w:cs="Times New Roman" w:eastAsia="Times New Roman" w:hAnsi="Times New Roman"/>
      <w:sz w:val="20"/>
      <w:szCs w:val="28"/>
      <w:lang w:eastAsia="pl-PL" w:val="fi-F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fcwHe6LhLmkxzKP0aXpIDKJ7Q==">AMUW2mUC6A3Q4TMTIy/FVf8E0itvGn+7wZS+biwezaRmkcqfqtNd5Wy4QxlyN3ntG3bwergDR769cUMhpWcBX4wdO6NzpSFVL71jDkXwg5jT1TBY3sjKXBg=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2020-12-14T12:53:00Z</dcterms:created>
  <dc:creator>Konrad</dc:creator>
</cp:coreProperties>
</file>